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Brightline Foods — Q3 2025 Business Update</w:t>
      </w:r>
    </w:p>
    <w:p>
      <w:r>
        <w:t>Internal memo · For the leadership team and board observers</w:t>
      </w:r>
    </w:p>
    <w:p>
      <w:pPr>
        <w:pStyle w:val="Heading1"/>
      </w:pPr>
      <w:r>
        <w:t>Headline</w:t>
      </w:r>
    </w:p>
    <w:p>
      <w:r>
        <w:t>Q3 closed ahead of plan on revenue and NPS, slightly behind on new-customer acquisition, and meaningfully ahead on gross margin thanks to the cocoa-sourcing renegotiation that landed in August. The quarter reinforced the strategic bet we made coming out of the planning offsite — that retention and unit economics matter more right now than top-line acquisition volume — and the numbers broadly validate that bet, with two caveats we get into below.</w:t>
      </w:r>
    </w:p>
    <w:p>
      <w:pPr>
        <w:pStyle w:val="Heading1"/>
      </w:pPr>
      <w:r>
        <w:t>Q3 highlights</w:t>
      </w:r>
    </w:p>
    <w:p>
      <w:pPr>
        <w:pStyle w:val="ListBullet"/>
      </w:pPr>
      <w:r>
        <w:t>MRR grew 18% quarter-over-quarter to $1.42M, beating the $1.35M plan, driven primarily by the relaunched Pantry subscription tier.</w:t>
      </w:r>
    </w:p>
    <w:p>
      <w:pPr>
        <w:pStyle w:val="ListBullet"/>
      </w:pPr>
      <w:r>
        <w:t>NPS jumped from 41 to 54, the largest single-quarter move since launch, on the back of the new packaging and the faster shipping SLAs out of the Carson, CA fulfillment center.</w:t>
      </w:r>
    </w:p>
    <w:p>
      <w:pPr>
        <w:pStyle w:val="ListBullet"/>
      </w:pPr>
      <w:r>
        <w:t>Renegotiated the cocoa supply contract with Veraluna Origins, cutting unit COGS on the chocolate line by 11% while extending the contract to 24 months.</w:t>
      </w:r>
    </w:p>
    <w:p>
      <w:pPr>
        <w:pStyle w:val="ListBullet"/>
      </w:pPr>
      <w:r>
        <w:t>Shipped the Pantry tier in seven new ZIP-code clusters across Texas and Arizona, with week-one reorder rates 6 points above the national average.</w:t>
      </w:r>
    </w:p>
    <w:p>
      <w:pPr>
        <w:pStyle w:val="ListBullet"/>
      </w:pPr>
      <w:r>
        <w:t>Launched the first wholesale pilot with Greengrove Markets (12 stores) — early sell-through tracking 1.4× our internal model.</w:t>
      </w:r>
    </w:p>
    <w:p>
      <w:pPr>
        <w:pStyle w:val="ListBullet"/>
      </w:pPr>
      <w:r>
        <w:t>Reduced customer-support first-response time from 9.2 hours to 3.4 hours after rolling out the new triage workflow and hiring two part-time CX leads.</w:t>
      </w:r>
    </w:p>
    <w:p>
      <w:pPr>
        <w:pStyle w:val="Heading1"/>
      </w:pPr>
      <w:r>
        <w:t>Metrics</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t>Metric</w:t>
            </w:r>
          </w:p>
        </w:tc>
        <w:tc>
          <w:tcPr>
            <w:tcW w:type="dxa" w:w="2160"/>
          </w:tcPr>
          <w:p>
            <w:r>
              <w:rPr>
                <w:b/>
              </w:rPr>
              <w:t>Q2 actual</w:t>
            </w:r>
          </w:p>
        </w:tc>
        <w:tc>
          <w:tcPr>
            <w:tcW w:type="dxa" w:w="2160"/>
          </w:tcPr>
          <w:p>
            <w:r>
              <w:rPr>
                <w:b/>
              </w:rPr>
              <w:t>Q3 actual</w:t>
            </w:r>
          </w:p>
        </w:tc>
        <w:tc>
          <w:tcPr>
            <w:tcW w:type="dxa" w:w="2160"/>
          </w:tcPr>
          <w:p>
            <w:r>
              <w:rPr>
                <w:b/>
              </w:rPr>
              <w:t>Q3 plan</w:t>
            </w:r>
          </w:p>
        </w:tc>
      </w:tr>
      <w:tr>
        <w:tc>
          <w:tcPr>
            <w:tcW w:type="dxa" w:w="2160"/>
          </w:tcPr>
          <w:p>
            <w:r>
              <w:t>MRR</w:t>
            </w:r>
          </w:p>
        </w:tc>
        <w:tc>
          <w:tcPr>
            <w:tcW w:type="dxa" w:w="2160"/>
          </w:tcPr>
          <w:p>
            <w:r>
              <w:t>$1.20M</w:t>
            </w:r>
          </w:p>
        </w:tc>
        <w:tc>
          <w:tcPr>
            <w:tcW w:type="dxa" w:w="2160"/>
          </w:tcPr>
          <w:p>
            <w:r>
              <w:t>$1.42M</w:t>
            </w:r>
          </w:p>
        </w:tc>
        <w:tc>
          <w:tcPr>
            <w:tcW w:type="dxa" w:w="2160"/>
          </w:tcPr>
          <w:p>
            <w:r>
              <w:t>$1.35M</w:t>
            </w:r>
          </w:p>
        </w:tc>
      </w:tr>
      <w:tr>
        <w:tc>
          <w:tcPr>
            <w:tcW w:type="dxa" w:w="2160"/>
          </w:tcPr>
          <w:p>
            <w:r>
              <w:t>Active customers</w:t>
            </w:r>
          </w:p>
        </w:tc>
        <w:tc>
          <w:tcPr>
            <w:tcW w:type="dxa" w:w="2160"/>
          </w:tcPr>
          <w:p>
            <w:r>
              <w:t>18,400</w:t>
            </w:r>
          </w:p>
        </w:tc>
        <w:tc>
          <w:tcPr>
            <w:tcW w:type="dxa" w:w="2160"/>
          </w:tcPr>
          <w:p>
            <w:r>
              <w:t>20,950</w:t>
            </w:r>
          </w:p>
        </w:tc>
        <w:tc>
          <w:tcPr>
            <w:tcW w:type="dxa" w:w="2160"/>
          </w:tcPr>
          <w:p>
            <w:r>
              <w:t>21,800</w:t>
            </w:r>
          </w:p>
        </w:tc>
      </w:tr>
      <w:tr>
        <w:tc>
          <w:tcPr>
            <w:tcW w:type="dxa" w:w="2160"/>
          </w:tcPr>
          <w:p>
            <w:r>
              <w:t>NPS</w:t>
            </w:r>
          </w:p>
        </w:tc>
        <w:tc>
          <w:tcPr>
            <w:tcW w:type="dxa" w:w="2160"/>
          </w:tcPr>
          <w:p>
            <w:r>
              <w:t>41</w:t>
            </w:r>
          </w:p>
        </w:tc>
        <w:tc>
          <w:tcPr>
            <w:tcW w:type="dxa" w:w="2160"/>
          </w:tcPr>
          <w:p>
            <w:r>
              <w:t>54</w:t>
            </w:r>
          </w:p>
        </w:tc>
        <w:tc>
          <w:tcPr>
            <w:tcW w:type="dxa" w:w="2160"/>
          </w:tcPr>
          <w:p>
            <w:r>
              <w:t>45</w:t>
            </w:r>
          </w:p>
        </w:tc>
      </w:tr>
      <w:tr>
        <w:tc>
          <w:tcPr>
            <w:tcW w:type="dxa" w:w="2160"/>
          </w:tcPr>
          <w:p>
            <w:r>
              <w:t>Blended CAC</w:t>
            </w:r>
          </w:p>
        </w:tc>
        <w:tc>
          <w:tcPr>
            <w:tcW w:type="dxa" w:w="2160"/>
          </w:tcPr>
          <w:p>
            <w:r>
              <w:t>$62</w:t>
            </w:r>
          </w:p>
        </w:tc>
        <w:tc>
          <w:tcPr>
            <w:tcW w:type="dxa" w:w="2160"/>
          </w:tcPr>
          <w:p>
            <w:r>
              <w:t>$58</w:t>
            </w:r>
          </w:p>
        </w:tc>
        <w:tc>
          <w:tcPr>
            <w:tcW w:type="dxa" w:w="2160"/>
          </w:tcPr>
          <w:p>
            <w:r>
              <w:t>$60</w:t>
            </w:r>
          </w:p>
        </w:tc>
      </w:tr>
      <w:tr>
        <w:tc>
          <w:tcPr>
            <w:tcW w:type="dxa" w:w="2160"/>
          </w:tcPr>
          <w:p>
            <w:r>
              <w:t>CAC payback (months)</w:t>
            </w:r>
          </w:p>
        </w:tc>
        <w:tc>
          <w:tcPr>
            <w:tcW w:type="dxa" w:w="2160"/>
          </w:tcPr>
          <w:p>
            <w:r>
              <w:t>8.1</w:t>
            </w:r>
          </w:p>
        </w:tc>
        <w:tc>
          <w:tcPr>
            <w:tcW w:type="dxa" w:w="2160"/>
          </w:tcPr>
          <w:p>
            <w:r>
              <w:t>6.9</w:t>
            </w:r>
          </w:p>
        </w:tc>
        <w:tc>
          <w:tcPr>
            <w:tcW w:type="dxa" w:w="2160"/>
          </w:tcPr>
          <w:p>
            <w:r>
              <w:t>7.5</w:t>
            </w:r>
          </w:p>
        </w:tc>
      </w:tr>
      <w:tr>
        <w:tc>
          <w:tcPr>
            <w:tcW w:type="dxa" w:w="2160"/>
          </w:tcPr>
          <w:p>
            <w:r>
              <w:t>Monthly logo churn</w:t>
            </w:r>
          </w:p>
        </w:tc>
        <w:tc>
          <w:tcPr>
            <w:tcW w:type="dxa" w:w="2160"/>
          </w:tcPr>
          <w:p>
            <w:r>
              <w:t>4.8%</w:t>
            </w:r>
          </w:p>
        </w:tc>
        <w:tc>
          <w:tcPr>
            <w:tcW w:type="dxa" w:w="2160"/>
          </w:tcPr>
          <w:p>
            <w:r>
              <w:t>3.9%</w:t>
            </w:r>
          </w:p>
        </w:tc>
        <w:tc>
          <w:tcPr>
            <w:tcW w:type="dxa" w:w="2160"/>
          </w:tcPr>
          <w:p>
            <w:r>
              <w:t>4.2%</w:t>
            </w:r>
          </w:p>
        </w:tc>
      </w:tr>
    </w:tbl>
    <w:p>
      <w:pPr>
        <w:pStyle w:val="Heading1"/>
      </w:pPr>
      <w:r>
        <w:t>What worked</w:t>
      </w:r>
    </w:p>
    <w:p>
      <w:r>
        <w:t>The Pantry tier relaunch was the single biggest lever this quarter. We rebuilt the bundle around six core SKUs the data said customers actually reorder — instead of the 14-SKU starter box that performed well in acquisition but poorly in retention. Week-four retention on the new bundle is 71%, versus 58% on the legacy bundle, and average order value held flat despite the smaller assortment because customers traded up into the premium chocolate and the breakfast oats line. The marketing team's shift to creator-led video over static social drove a 2.3× improvement in cost-per-acquisition on Meta, more than offsetting the small dip in TikTok volume, and the creator program now has 38 active partners delivering at sub-$45 blended CAC.</w:t>
      </w:r>
    </w:p>
    <w:p>
      <w:r>
        <w:t>Operations executed cleanly on the Carson fulfillment ramp. We hit 99.1% on-time dispatch in September, the first month above our 99% target since the facility opened, and damage-in-transit complaints dropped 42% after we changed the corrugate spec on the heavier bundles. The new pick-and-pack layout, plus the second-shift hires, finally absorbed the volume that was straining the floor through Q2, and we're now operating at roughly 68% of theoretical capacity — enough headroom to absorb the Q4 holiday peak without a third shift, assuming the demand forecast holds.</w:t>
      </w:r>
    </w:p>
    <w:p>
      <w:r>
        <w:t>On supply, the Veraluna renegotiation was the standout. We traded a longer commitment for better unit economics and a quarterly price-review clause that protects us if cocoa futures keep climbing. This single contract is worth roughly $480K of gross-margin uplift across FY26 at current volume, and it materially de-risks our holiday gifting bundle pricing. Separately, the secondary oat supplier in Saskatchewan came online in September on schedule, which means we're no longer single-sourced on our highest-volume input — a risk the audit committee flagged in Q1 and we've now closed.</w:t>
      </w:r>
    </w:p>
    <w:p>
      <w:pPr>
        <w:pStyle w:val="Heading1"/>
      </w:pPr>
      <w:r>
        <w:t>What didn't</w:t>
      </w:r>
    </w:p>
    <w:p>
      <w:r>
        <w:t>We missed new-customer acquisition by about 4%, landing at 20,950 active customers against a plan of 21,800. The Pantry relaunch shifted budget toward retention activations and the team underestimated how much top-of-funnel volume that would cost us in the back half of the quarter. We caught the trend in week ten of the quarter but couldn't fully recover the funnel before close. The silver lining is that the customers we did acquire are demonstrably more valuable — 90-day LTV on the September cohort is $184, versus $151 on the June cohort — but in absolute terms we need to rebuild acquisition volume in Q4 without giving up the CAC and LTV gains.</w:t>
      </w:r>
    </w:p>
    <w:p>
      <w:r>
        <w:t>The Greengrove wholesale pilot, while strong on sell-through, exposed real gaps in our wholesale ops stack. We're still invoicing manually through QuickBooks, EDI integration with Greengrove's distribution partner hasn't started, our case-pack SKUs aren't yet set up cleanly in NetSuite, and we have no automated way to track sell-through by store. If we want to sign two or three more chains in Q4 — and we have active conversations with two — this stack is the bottleneck. We're scoping the work now and the early estimate is six to eight engineering weeks, which is non-trivial against an already-tight Q4 roadmap.</w:t>
      </w:r>
    </w:p>
    <w:p>
      <w:r>
        <w:t>Acknowledged miss: the loyalty program redesign slipped out of Q3 entirely. Engineering capacity went to the checkout-stability work in August — which was the right call, since checkout error rates dropped from 1.8% to 0.4% and we estimate that work alone recovered roughly $90K of monthly revenue that was previously failing silently — but it means loyalty hasn't shipped and we're heading into the holiday quarter without the redemption mechanic we promised in the Q3 plan. We're carrying this into Q4 with a firm late-November ship date, and the team has agreed it's a non-negotiable. If anything else competes for that capacity, it gets cut, not loyalty.</w:t>
      </w:r>
    </w:p>
    <w:p>
      <w:r>
        <w:t>Two smaller misses worth naming: the referral program revamp didn't ship (deprioritized in favor of the creator program, which is fine in hindsight but we should have killed it explicitly rather than letting it drift), and the iOS app's offline-mode work is two sprints behind schedule because of an unexpected dependency on the new auth flow. Both will be addressed in the Q4 plan.</w:t>
      </w:r>
    </w:p>
    <w:p>
      <w:pPr>
        <w:pStyle w:val="Heading1"/>
      </w:pPr>
      <w:r>
        <w:t>Q4 priorities</w:t>
      </w:r>
    </w:p>
    <w:p>
      <w:pPr>
        <w:pStyle w:val="ListNumber"/>
      </w:pPr>
      <w:r>
        <w:t xml:space="preserve">Ship the loyalty redesign and the holiday redemption mechanic by November 21. </w:t>
      </w:r>
      <w:r>
        <w:rPr>
          <w:i/>
        </w:rPr>
        <w:t>Owner: Mira Chen</w:t>
      </w:r>
    </w:p>
    <w:p>
      <w:pPr>
        <w:pStyle w:val="ListNumber"/>
      </w:pPr>
      <w:r>
        <w:t xml:space="preserve">Stand up the wholesale ops stack — EDI, case-pack SKUs, automated invoicing — to support 3–5 new chain conversations. </w:t>
      </w:r>
      <w:r>
        <w:rPr>
          <w:i/>
        </w:rPr>
        <w:t>Owner: Dev Okafor</w:t>
      </w:r>
    </w:p>
    <w:p>
      <w:pPr>
        <w:pStyle w:val="ListNumber"/>
      </w:pPr>
      <w:r>
        <w:t xml:space="preserve">Hold blended CAC under $60 while rebuilding top-of-funnel volume to 8,500 new customers/month. </w:t>
      </w:r>
      <w:r>
        <w:rPr>
          <w:i/>
        </w:rPr>
        <w:t>Owner: Lena Park</w:t>
      </w:r>
    </w:p>
    <w:p>
      <w:pPr>
        <w:pStyle w:val="ListNumber"/>
      </w:pPr>
      <w:r>
        <w:t xml:space="preserve">Launch the limited holiday gifting bundle by November 1 and exit December with &lt;500 units of leftover inventory. </w:t>
      </w:r>
      <w:r>
        <w:rPr>
          <w:i/>
        </w:rPr>
        <w:t>Owner: Priya Madhavan</w:t>
      </w:r>
    </w:p>
    <w:p>
      <w:pPr>
        <w:pStyle w:val="ListNumber"/>
      </w:pPr>
      <w:r>
        <w:t xml:space="preserve">Close the Series B extension — target $12M at the agreed cap by December 15. </w:t>
      </w:r>
      <w:r>
        <w:rPr>
          <w:i/>
        </w:rPr>
        <w:t>Owner: Mira Chen</w:t>
      </w:r>
    </w:p>
    <w:p>
      <w:pPr>
        <w:pStyle w:val="Heading1"/>
      </w:pPr>
      <w:r>
        <w:t>Risks we're watching</w:t>
      </w:r>
    </w:p>
    <w:p>
      <w:r>
        <w:t>Three risks are on the leadership watchlist for Q4. First, cocoa futures: the new Veraluna contract protects us but the broader commodity environment is volatile, and if we need to add a second cocoa supplier mid-FY26 we should start that conversation in Q4, not Q1. Second, Carson capacity at peak: our forecast assumes 68% baseline utilization but the holiday peak historically adds 35–40% on top of baseline, which puts us close to the ceiling. We're modeling overflow to a 3PL partner for the two peak weeks. Third, the Series B extension timing — we have committed lead interest at the agreed cap, but if the round slips into Q1 we'll need to tighten Q4 spend by roughly $300K to preserve runway, mostly from paid marketing.</w:t>
      </w:r>
    </w:p>
    <w:p>
      <w:pPr>
        <w:pStyle w:val="Heading1"/>
      </w:pPr>
      <w:r>
        <w:t>Looking ahead to Q4 and into FY26</w:t>
      </w:r>
    </w:p>
    <w:p>
      <w:r>
        <w:t>Q4 is the quarter where the strategy either compounds or stalls. If we ship loyalty on time, stand up wholesale ops, and rebuild acquisition volume without giving back the CAC and LTV improvements, we exit the year with a credible path to $25M ARR by the end of FY26 and a much stronger Series B story. If any one of those three slips materially, we'll be re-forecasting in January and the conversation with the board gets harder. The Q4 priorities below are deliberately concentrated — five things, each with a single owner — and the team has agreed that protecting focus on these is worth saying no to almost everything else.</w:t>
      </w:r>
    </w:p>
    <w:p>
      <w:pPr>
        <w:pStyle w:val="Heading1"/>
      </w:pPr>
      <w:r>
        <w:t>Asks of the team</w:t>
      </w:r>
    </w:p>
    <w:p>
      <w:pPr>
        <w:pStyle w:val="ListBullet"/>
      </w:pPr>
      <w:r>
        <w:t>Engineering: protect 60% of capacity for loyalty and wholesale ops; anything else this quarter needs an explicit trade-off documented in the planning doc.</w:t>
      </w:r>
    </w:p>
    <w:p>
      <w:pPr>
        <w:pStyle w:val="ListBullet"/>
      </w:pPr>
      <w:r>
        <w:t>Design: front-load the holiday creative so marketing has assets by October 20, and start exploration on the loyalty redemption UI by mid-October.</w:t>
      </w:r>
    </w:p>
    <w:p>
      <w:pPr>
        <w:pStyle w:val="ListBullet"/>
      </w:pPr>
      <w:r>
        <w:t>CX: keep first-response under 4 hours through peak; flag staffing risk by November 1 if volume forecasts shift more than 15% in either direction.</w:t>
      </w:r>
    </w:p>
    <w:p>
      <w:pPr>
        <w:pStyle w:val="ListBullet"/>
      </w:pPr>
      <w:r>
        <w:t>Marketing: rebuild the top-of-funnel test backlog to at least 12 active creative experiments per month, and re-open the referral program conversation in November.</w:t>
      </w:r>
    </w:p>
    <w:p>
      <w:pPr>
        <w:pStyle w:val="ListBullet"/>
      </w:pPr>
      <w:r>
        <w:t>Finance: model the Series B extension delay scenario by October 30 so we have a credible Plan B before the holiday spend ramps.</w:t>
      </w:r>
    </w:p>
    <w:p>
      <w:pPr>
        <w:pStyle w:val="ListBullet"/>
      </w:pPr>
      <w:r>
        <w:t>Everyone: get your Q4 OKRs into the planning doc by next Friday so we can lock the company scorecard and publish it to the team by October 17.</w:t>
      </w:r>
    </w:p>
    <w:p>
      <w:r>
        <w:rPr>
          <w:i/>
        </w:rPr>
        <w:t>Drafted by Mira Chen, Head of Product · 3 Oct 2025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